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color w:val="000000"/>
          <w:sz w:val="48"/>
          <w:szCs w:val="48"/>
        </w:rPr>
      </w:pPr>
      <w:r>
        <w:rPr>
          <w:rFonts w:ascii="Times New Roman" w:hAnsi="Times New Roman"/>
          <w:b/>
          <w:spacing w:val="40"/>
          <w:sz w:val="36"/>
        </w:rPr>
        <w:pict>
          <v:line id="Line 3" o:spid="_x0000_s1028" o:spt="20" style="position:absolute;left:0pt;margin-left:-15pt;margin-top:42.75pt;height:0.7pt;width:452.4pt;z-index:251659264;mso-width-relative:page;mso-height-relative:page;" filled="f" stroked="t" coordsize="21600,21600" o:allowincell="f">
            <v:path arrowok="t"/>
            <v:fill on="f" focussize="0,0"/>
            <v:stroke weight="4.5pt" linestyle="thinThick"/>
            <v:imagedata o:title=""/>
            <o:lock v:ext="edit" aspectratio="f"/>
          </v:line>
        </w:pict>
      </w:r>
      <w:r>
        <w:rPr>
          <w:rFonts w:hint="eastAsia" w:ascii="宋体" w:hAnsi="宋体"/>
          <w:b/>
          <w:color w:val="000000"/>
          <w:sz w:val="48"/>
          <w:szCs w:val="48"/>
        </w:rPr>
        <w:t>国能</w:t>
      </w:r>
      <w:r>
        <w:rPr>
          <w:rFonts w:hint="eastAsia" w:ascii="宋体" w:hAnsi="宋体"/>
          <w:b/>
          <w:color w:val="000000"/>
          <w:sz w:val="48"/>
          <w:szCs w:val="48"/>
          <w:lang w:eastAsia="zh-CN"/>
        </w:rPr>
        <w:t>蒙城</w:t>
      </w:r>
      <w:r>
        <w:rPr>
          <w:rFonts w:hint="eastAsia" w:ascii="宋体" w:hAnsi="宋体"/>
          <w:b/>
          <w:color w:val="000000"/>
          <w:sz w:val="48"/>
          <w:szCs w:val="48"/>
        </w:rPr>
        <w:t>生物发电有限公司</w:t>
      </w:r>
    </w:p>
    <w:p>
      <w:pPr>
        <w:spacing w:line="520" w:lineRule="exact"/>
        <w:jc w:val="center"/>
        <w:rPr>
          <w:rFonts w:ascii="Times New Roman" w:hAnsi="Times New Roman"/>
          <w:b/>
          <w:spacing w:val="40"/>
          <w:sz w:val="36"/>
        </w:rPr>
      </w:pPr>
    </w:p>
    <w:p>
      <w:pPr>
        <w:jc w:val="center"/>
        <w:rPr>
          <w:rFonts w:hint="eastAsia" w:ascii="Times New Roman" w:hAnsi="Times New Roman" w:eastAsia="微软雅黑"/>
          <w:b/>
          <w:spacing w:val="40"/>
          <w:sz w:val="52"/>
          <w:lang w:val="en-US" w:eastAsia="zh-CN"/>
        </w:rPr>
      </w:pPr>
      <w:r>
        <w:rPr>
          <w:rFonts w:hint="eastAsia" w:ascii="Times New Roman" w:hAnsi="Times New Roman"/>
          <w:b/>
          <w:spacing w:val="40"/>
          <w:sz w:val="52"/>
          <w:lang w:val="en-US" w:eastAsia="zh-CN"/>
        </w:rPr>
        <w:t>冷却水塔填料维修</w:t>
      </w:r>
    </w:p>
    <w:p>
      <w:pPr>
        <w:jc w:val="center"/>
        <w:rPr>
          <w:rFonts w:ascii="Times New Roman" w:hAnsi="Times New Roman"/>
          <w:b/>
          <w:spacing w:val="40"/>
          <w:sz w:val="52"/>
        </w:rPr>
      </w:pPr>
    </w:p>
    <w:p>
      <w:pPr>
        <w:jc w:val="center"/>
        <w:rPr>
          <w:rFonts w:ascii="Times New Roman" w:hAnsi="Times New Roman"/>
          <w:b/>
          <w:spacing w:val="40"/>
          <w:sz w:val="52"/>
        </w:rPr>
      </w:pPr>
    </w:p>
    <w:p>
      <w:pPr>
        <w:ind w:firstLine="3001" w:firstLineChars="500"/>
        <w:jc w:val="both"/>
        <w:rPr>
          <w:rFonts w:ascii="Times New Roman" w:hAnsi="Times New Roman"/>
          <w:b/>
          <w:spacing w:val="40"/>
          <w:sz w:val="52"/>
        </w:rPr>
      </w:pPr>
      <w:r>
        <w:rPr>
          <w:rFonts w:ascii="Times New Roman" w:hAnsi="Times New Roman"/>
          <w:b/>
          <w:spacing w:val="40"/>
          <w:sz w:val="52"/>
        </w:rPr>
        <w:t>技术规范</w:t>
      </w:r>
    </w:p>
    <w:p>
      <w:pPr>
        <w:spacing w:line="360" w:lineRule="auto"/>
        <w:jc w:val="center"/>
        <w:rPr>
          <w:rFonts w:hint="eastAsia" w:ascii="宋体" w:hAnsi="宋体"/>
          <w:b/>
          <w:color w:val="000000"/>
          <w:sz w:val="52"/>
          <w:szCs w:val="52"/>
        </w:rPr>
      </w:pPr>
    </w:p>
    <w:p>
      <w:pPr>
        <w:spacing w:line="360" w:lineRule="auto"/>
        <w:jc w:val="center"/>
        <w:rPr>
          <w:rFonts w:hint="eastAsia" w:ascii="宋体" w:hAnsi="宋体"/>
          <w:b/>
          <w:color w:val="000000"/>
          <w:sz w:val="32"/>
        </w:rPr>
      </w:pPr>
    </w:p>
    <w:p>
      <w:pPr>
        <w:spacing w:line="360" w:lineRule="auto"/>
        <w:jc w:val="center"/>
        <w:rPr>
          <w:rFonts w:hint="eastAsia" w:ascii="宋体" w:hAnsi="宋体"/>
          <w:b/>
          <w:color w:val="000000"/>
          <w:sz w:val="32"/>
        </w:rPr>
      </w:pPr>
    </w:p>
    <w:p>
      <w:pPr>
        <w:spacing w:line="360" w:lineRule="auto"/>
        <w:jc w:val="center"/>
        <w:rPr>
          <w:rFonts w:hint="eastAsia" w:ascii="宋体" w:hAnsi="宋体"/>
          <w:b/>
          <w:color w:val="000000"/>
          <w:sz w:val="32"/>
        </w:rPr>
      </w:pPr>
    </w:p>
    <w:p>
      <w:pPr>
        <w:spacing w:line="360" w:lineRule="auto"/>
        <w:jc w:val="center"/>
        <w:rPr>
          <w:rFonts w:hint="eastAsia" w:ascii="宋体" w:hAnsi="宋体"/>
          <w:b/>
          <w:color w:val="000000"/>
          <w:sz w:val="32"/>
        </w:rPr>
      </w:pPr>
    </w:p>
    <w:p>
      <w:pPr>
        <w:spacing w:line="360" w:lineRule="auto"/>
        <w:jc w:val="center"/>
        <w:rPr>
          <w:rFonts w:hint="eastAsia" w:ascii="宋体" w:hAnsi="宋体"/>
          <w:b/>
          <w:color w:val="000000"/>
          <w:sz w:val="32"/>
        </w:rPr>
      </w:pPr>
    </w:p>
    <w:p>
      <w:pPr>
        <w:spacing w:line="360" w:lineRule="auto"/>
        <w:jc w:val="center"/>
        <w:rPr>
          <w:rFonts w:hint="eastAsia" w:ascii="宋体" w:hAnsi="宋体"/>
          <w:b/>
          <w:color w:val="000000"/>
          <w:sz w:val="32"/>
        </w:rPr>
      </w:pPr>
    </w:p>
    <w:p>
      <w:pPr>
        <w:spacing w:line="360" w:lineRule="auto"/>
        <w:jc w:val="center"/>
        <w:outlineLvl w:val="0"/>
        <w:rPr>
          <w:rFonts w:hint="eastAsia" w:ascii="Times New Roman" w:hAnsi="Times New Roman"/>
          <w:b/>
          <w:spacing w:val="40"/>
          <w:sz w:val="36"/>
          <w:szCs w:val="36"/>
        </w:rPr>
        <w:sectPr>
          <w:headerReference r:id="rId3" w:type="default"/>
          <w:pgSz w:w="11906" w:h="16838"/>
          <w:pgMar w:top="1440" w:right="1800" w:bottom="1440" w:left="1800" w:header="851" w:footer="992" w:gutter="0"/>
          <w:cols w:space="720" w:num="1"/>
          <w:docGrid w:type="lines" w:linePitch="312" w:charSpace="0"/>
        </w:sectPr>
      </w:pPr>
      <w:r>
        <w:rPr>
          <w:rFonts w:ascii="Times New Roman" w:hAnsi="Times New Roman"/>
          <w:b/>
          <w:spacing w:val="40"/>
          <w:sz w:val="36"/>
          <w:szCs w:val="36"/>
        </w:rPr>
        <w:t>201</w:t>
      </w:r>
      <w:r>
        <w:rPr>
          <w:rFonts w:hint="eastAsia" w:ascii="Times New Roman" w:hAnsi="Times New Roman"/>
          <w:b/>
          <w:spacing w:val="40"/>
          <w:sz w:val="36"/>
          <w:szCs w:val="36"/>
          <w:lang w:val="en-US" w:eastAsia="zh-CN"/>
        </w:rPr>
        <w:t>9</w:t>
      </w:r>
      <w:r>
        <w:rPr>
          <w:rFonts w:hint="eastAsia" w:ascii="Times New Roman" w:hAnsi="Times New Roman"/>
          <w:b/>
          <w:spacing w:val="40"/>
          <w:sz w:val="36"/>
          <w:szCs w:val="36"/>
        </w:rPr>
        <w:t>年</w:t>
      </w:r>
      <w:r>
        <w:rPr>
          <w:rFonts w:hint="eastAsia" w:ascii="Times New Roman" w:hAnsi="Times New Roman"/>
          <w:b/>
          <w:spacing w:val="40"/>
          <w:sz w:val="36"/>
          <w:szCs w:val="36"/>
          <w:lang w:val="en-US" w:eastAsia="zh-CN"/>
        </w:rPr>
        <w:t>7月</w:t>
      </w:r>
    </w:p>
    <w:p>
      <w:pPr>
        <w:pStyle w:val="8"/>
        <w:spacing w:before="0" w:line="560" w:lineRule="exact"/>
        <w:jc w:val="both"/>
        <w:rPr>
          <w:color w:val="auto"/>
          <w:lang w:val="zh-CN"/>
        </w:rPr>
      </w:pPr>
    </w:p>
    <w:p>
      <w:pPr>
        <w:pStyle w:val="8"/>
        <w:spacing w:before="0" w:line="560" w:lineRule="exact"/>
        <w:jc w:val="center"/>
        <w:rPr>
          <w:color w:val="auto"/>
        </w:rPr>
      </w:pPr>
      <w:r>
        <w:rPr>
          <w:color w:val="auto"/>
          <w:lang w:val="zh-CN"/>
        </w:rPr>
        <w:t>目</w:t>
      </w:r>
      <w:r>
        <w:rPr>
          <w:rFonts w:hint="eastAsia"/>
          <w:color w:val="auto"/>
        </w:rPr>
        <w:t xml:space="preserve">  </w:t>
      </w:r>
      <w:r>
        <w:rPr>
          <w:color w:val="auto"/>
          <w:lang w:val="zh-CN"/>
        </w:rPr>
        <w:t>录</w:t>
      </w:r>
    </w:p>
    <w:p>
      <w:pPr>
        <w:pStyle w:val="4"/>
        <w:tabs>
          <w:tab w:val="right" w:leader="dot" w:pos="8400"/>
        </w:tabs>
        <w:spacing w:line="560" w:lineRule="exact"/>
        <w:ind w:left="368" w:hanging="385" w:hangingChars="175"/>
        <w:rPr>
          <w:rFonts w:ascii="Calibri" w:hAnsi="Calibri"/>
          <w:szCs w:val="22"/>
        </w:rPr>
      </w:pPr>
      <w:r>
        <w:fldChar w:fldCharType="begin"/>
      </w:r>
      <w:r>
        <w:instrText xml:space="preserve"> TOC \o "1-3" \h \z \u </w:instrText>
      </w:r>
      <w:r>
        <w:fldChar w:fldCharType="separate"/>
      </w:r>
      <w:r>
        <w:fldChar w:fldCharType="begin"/>
      </w:r>
      <w:r>
        <w:instrText xml:space="preserve"> HYPERLINK \l "_Toc440032585" </w:instrText>
      </w:r>
      <w:r>
        <w:fldChar w:fldCharType="separate"/>
      </w:r>
      <w:r>
        <w:rPr>
          <w:rStyle w:val="7"/>
        </w:rPr>
        <w:t>1</w:t>
      </w:r>
      <w:r>
        <w:rPr>
          <w:rStyle w:val="7"/>
          <w:rFonts w:hint="eastAsia"/>
        </w:rPr>
        <w:t>总则</w:t>
      </w:r>
      <w:r>
        <w:tab/>
      </w:r>
      <w:r>
        <w:fldChar w:fldCharType="begin"/>
      </w:r>
      <w:r>
        <w:instrText xml:space="preserve"> PAGEREF _Toc440032585 \h </w:instrText>
      </w:r>
      <w:r>
        <w:fldChar w:fldCharType="separate"/>
      </w:r>
      <w:r>
        <w:t>2</w:t>
      </w:r>
      <w:r>
        <w:fldChar w:fldCharType="end"/>
      </w:r>
      <w:r>
        <w:fldChar w:fldCharType="end"/>
      </w:r>
    </w:p>
    <w:p>
      <w:pPr>
        <w:pStyle w:val="4"/>
        <w:tabs>
          <w:tab w:val="right" w:leader="dot" w:pos="8400"/>
        </w:tabs>
        <w:spacing w:line="560" w:lineRule="exact"/>
        <w:ind w:left="368" w:hanging="385" w:hangingChars="175"/>
        <w:rPr>
          <w:rFonts w:ascii="Calibri" w:hAnsi="Calibri"/>
          <w:szCs w:val="22"/>
        </w:rPr>
      </w:pPr>
      <w:r>
        <w:fldChar w:fldCharType="begin"/>
      </w:r>
      <w:r>
        <w:instrText xml:space="preserve"> HYPERLINK \l "_Toc440032586" </w:instrText>
      </w:r>
      <w:r>
        <w:fldChar w:fldCharType="separate"/>
      </w:r>
      <w:r>
        <w:rPr>
          <w:rStyle w:val="7"/>
        </w:rPr>
        <w:t>2</w:t>
      </w:r>
      <w:r>
        <w:rPr>
          <w:rStyle w:val="7"/>
          <w:rFonts w:hint="eastAsia"/>
        </w:rPr>
        <w:t>技术要求：</w:t>
      </w:r>
      <w:r>
        <w:tab/>
      </w:r>
      <w:r>
        <w:fldChar w:fldCharType="begin"/>
      </w:r>
      <w:r>
        <w:instrText xml:space="preserve"> PAGEREF _Toc440032586 \h </w:instrText>
      </w:r>
      <w:r>
        <w:fldChar w:fldCharType="separate"/>
      </w:r>
      <w:r>
        <w:t>3</w:t>
      </w:r>
      <w:r>
        <w:fldChar w:fldCharType="end"/>
      </w:r>
      <w:r>
        <w:fldChar w:fldCharType="end"/>
      </w:r>
    </w:p>
    <w:p>
      <w:pPr>
        <w:pStyle w:val="4"/>
        <w:tabs>
          <w:tab w:val="right" w:leader="dot" w:pos="8400"/>
        </w:tabs>
        <w:spacing w:line="560" w:lineRule="exact"/>
        <w:ind w:left="368" w:hanging="385" w:hangingChars="175"/>
        <w:rPr>
          <w:rFonts w:ascii="Calibri" w:hAnsi="Calibri"/>
          <w:szCs w:val="22"/>
        </w:rPr>
      </w:pPr>
      <w:r>
        <w:fldChar w:fldCharType="begin"/>
      </w:r>
      <w:r>
        <w:instrText xml:space="preserve"> HYPERLINK \l "_Toc440032587" </w:instrText>
      </w:r>
      <w:r>
        <w:fldChar w:fldCharType="separate"/>
      </w:r>
      <w:r>
        <w:rPr>
          <w:rStyle w:val="7"/>
        </w:rPr>
        <w:t>3</w:t>
      </w:r>
      <w:r>
        <w:rPr>
          <w:rStyle w:val="7"/>
          <w:rFonts w:hint="eastAsia"/>
        </w:rPr>
        <w:t>供货范围</w:t>
      </w:r>
      <w:r>
        <w:tab/>
      </w:r>
      <w:r>
        <w:fldChar w:fldCharType="begin"/>
      </w:r>
      <w:r>
        <w:instrText xml:space="preserve"> PAGEREF _Toc440032587 \h </w:instrText>
      </w:r>
      <w:r>
        <w:fldChar w:fldCharType="separate"/>
      </w:r>
      <w:r>
        <w:t>11</w:t>
      </w:r>
      <w:r>
        <w:fldChar w:fldCharType="end"/>
      </w:r>
      <w:r>
        <w:fldChar w:fldCharType="end"/>
      </w:r>
    </w:p>
    <w:p>
      <w:pPr>
        <w:pStyle w:val="4"/>
        <w:tabs>
          <w:tab w:val="right" w:leader="dot" w:pos="8400"/>
        </w:tabs>
        <w:spacing w:line="560" w:lineRule="exact"/>
        <w:ind w:left="368" w:hanging="385" w:hangingChars="175"/>
        <w:rPr>
          <w:rFonts w:ascii="Calibri" w:hAnsi="Calibri"/>
          <w:szCs w:val="22"/>
        </w:rPr>
      </w:pPr>
      <w:r>
        <w:fldChar w:fldCharType="begin"/>
      </w:r>
      <w:r>
        <w:instrText xml:space="preserve"> HYPERLINK \l "_Toc440032588" </w:instrText>
      </w:r>
      <w:r>
        <w:fldChar w:fldCharType="separate"/>
      </w:r>
      <w:r>
        <w:rPr>
          <w:rStyle w:val="7"/>
        </w:rPr>
        <w:t>4</w:t>
      </w:r>
      <w:r>
        <w:rPr>
          <w:rStyle w:val="7"/>
          <w:rFonts w:hint="eastAsia"/>
        </w:rPr>
        <w:t>技术服务</w:t>
      </w:r>
      <w:r>
        <w:tab/>
      </w:r>
      <w:r>
        <w:fldChar w:fldCharType="begin"/>
      </w:r>
      <w:r>
        <w:instrText xml:space="preserve"> PAGEREF _Toc440032588 \h </w:instrText>
      </w:r>
      <w:r>
        <w:fldChar w:fldCharType="separate"/>
      </w:r>
      <w:r>
        <w:t>12</w:t>
      </w:r>
      <w:r>
        <w:fldChar w:fldCharType="end"/>
      </w:r>
      <w:r>
        <w:fldChar w:fldCharType="end"/>
      </w:r>
    </w:p>
    <w:p>
      <w:pPr>
        <w:pStyle w:val="4"/>
        <w:tabs>
          <w:tab w:val="right" w:leader="dot" w:pos="8400"/>
        </w:tabs>
        <w:spacing w:line="560" w:lineRule="exact"/>
        <w:ind w:left="368" w:hanging="385" w:hangingChars="175"/>
        <w:rPr>
          <w:rFonts w:ascii="Calibri" w:hAnsi="Calibri"/>
          <w:szCs w:val="22"/>
        </w:rPr>
      </w:pPr>
      <w:r>
        <w:fldChar w:fldCharType="begin"/>
      </w:r>
      <w:r>
        <w:instrText xml:space="preserve"> HYPERLINK \l "_Toc440032589" </w:instrText>
      </w:r>
      <w:r>
        <w:fldChar w:fldCharType="separate"/>
      </w:r>
      <w:r>
        <w:rPr>
          <w:rStyle w:val="7"/>
        </w:rPr>
        <w:t>5</w:t>
      </w:r>
      <w:r>
        <w:rPr>
          <w:rStyle w:val="7"/>
          <w:rFonts w:hint="eastAsia"/>
        </w:rPr>
        <w:t>质量保证和试验</w:t>
      </w:r>
      <w:r>
        <w:tab/>
      </w:r>
      <w:r>
        <w:fldChar w:fldCharType="begin"/>
      </w:r>
      <w:r>
        <w:instrText xml:space="preserve"> PAGEREF _Toc440032589 \h </w:instrText>
      </w:r>
      <w:r>
        <w:fldChar w:fldCharType="separate"/>
      </w:r>
      <w:r>
        <w:t>13</w:t>
      </w:r>
      <w:r>
        <w:fldChar w:fldCharType="end"/>
      </w:r>
      <w:r>
        <w:fldChar w:fldCharType="end"/>
      </w:r>
    </w:p>
    <w:p>
      <w:pPr>
        <w:pStyle w:val="4"/>
        <w:tabs>
          <w:tab w:val="right" w:leader="dot" w:pos="8400"/>
        </w:tabs>
        <w:spacing w:line="560" w:lineRule="exact"/>
        <w:ind w:left="368" w:hanging="385" w:hangingChars="175"/>
        <w:rPr>
          <w:rFonts w:ascii="Calibri" w:hAnsi="Calibri"/>
          <w:szCs w:val="22"/>
        </w:rPr>
      </w:pPr>
      <w:r>
        <w:fldChar w:fldCharType="begin"/>
      </w:r>
      <w:r>
        <w:instrText xml:space="preserve"> HYPERLINK \l "_Toc440032590" </w:instrText>
      </w:r>
      <w:r>
        <w:fldChar w:fldCharType="separate"/>
      </w:r>
      <w:r>
        <w:rPr>
          <w:rStyle w:val="7"/>
        </w:rPr>
        <w:t>6</w:t>
      </w:r>
      <w:r>
        <w:rPr>
          <w:rStyle w:val="7"/>
          <w:rFonts w:hint="eastAsia"/>
        </w:rPr>
        <w:t>文件资料交付</w:t>
      </w:r>
      <w:r>
        <w:tab/>
      </w:r>
      <w:r>
        <w:fldChar w:fldCharType="begin"/>
      </w:r>
      <w:r>
        <w:instrText xml:space="preserve"> PAGEREF _Toc440032590 \h </w:instrText>
      </w:r>
      <w:r>
        <w:fldChar w:fldCharType="separate"/>
      </w:r>
      <w:r>
        <w:t>13</w:t>
      </w:r>
      <w:r>
        <w:fldChar w:fldCharType="end"/>
      </w:r>
      <w:r>
        <w:fldChar w:fldCharType="end"/>
      </w:r>
    </w:p>
    <w:p>
      <w:pPr>
        <w:pStyle w:val="4"/>
        <w:tabs>
          <w:tab w:val="right" w:leader="dot" w:pos="8400"/>
        </w:tabs>
        <w:spacing w:line="560" w:lineRule="exact"/>
        <w:ind w:left="368" w:hanging="385" w:hangingChars="175"/>
        <w:rPr>
          <w:rFonts w:ascii="Calibri" w:hAnsi="Calibri"/>
          <w:szCs w:val="22"/>
        </w:rPr>
      </w:pPr>
      <w:r>
        <w:fldChar w:fldCharType="begin"/>
      </w:r>
      <w:r>
        <w:instrText xml:space="preserve"> HYPERLINK \l "_Toc440032591" </w:instrText>
      </w:r>
      <w:r>
        <w:fldChar w:fldCharType="separate"/>
      </w:r>
      <w:r>
        <w:rPr>
          <w:rStyle w:val="7"/>
        </w:rPr>
        <w:t>7</w:t>
      </w:r>
      <w:r>
        <w:rPr>
          <w:rStyle w:val="7"/>
          <w:rFonts w:hint="eastAsia"/>
        </w:rPr>
        <w:t>售后服务</w:t>
      </w:r>
      <w:r>
        <w:tab/>
      </w:r>
      <w:r>
        <w:fldChar w:fldCharType="begin"/>
      </w:r>
      <w:r>
        <w:instrText xml:space="preserve"> PAGEREF _Toc440032591 \h </w:instrText>
      </w:r>
      <w:r>
        <w:fldChar w:fldCharType="separate"/>
      </w:r>
      <w:r>
        <w:t>13</w:t>
      </w:r>
      <w:r>
        <w:fldChar w:fldCharType="end"/>
      </w:r>
      <w:r>
        <w:fldChar w:fldCharType="end"/>
      </w:r>
    </w:p>
    <w:p>
      <w:pPr>
        <w:pStyle w:val="4"/>
        <w:tabs>
          <w:tab w:val="right" w:leader="dot" w:pos="8400"/>
        </w:tabs>
        <w:spacing w:line="560" w:lineRule="exact"/>
        <w:ind w:left="368" w:hanging="385" w:hangingChars="175"/>
        <w:rPr>
          <w:rFonts w:ascii="Calibri" w:hAnsi="Calibri"/>
          <w:szCs w:val="22"/>
        </w:rPr>
      </w:pPr>
      <w:r>
        <w:fldChar w:fldCharType="begin"/>
      </w:r>
      <w:r>
        <w:instrText xml:space="preserve"> HYPERLINK \l "_Toc440032592" </w:instrText>
      </w:r>
      <w:r>
        <w:fldChar w:fldCharType="separate"/>
      </w:r>
      <w:r>
        <w:rPr>
          <w:rStyle w:val="7"/>
        </w:rPr>
        <w:t>8</w:t>
      </w:r>
      <w:r>
        <w:rPr>
          <w:rStyle w:val="7"/>
          <w:rFonts w:hint="eastAsia"/>
        </w:rPr>
        <w:t>其它</w:t>
      </w:r>
      <w:r>
        <w:tab/>
      </w:r>
      <w:r>
        <w:fldChar w:fldCharType="begin"/>
      </w:r>
      <w:r>
        <w:instrText xml:space="preserve"> PAGEREF _Toc440032592 \h </w:instrText>
      </w:r>
      <w:r>
        <w:fldChar w:fldCharType="separate"/>
      </w:r>
      <w:r>
        <w:t>14</w:t>
      </w:r>
      <w:r>
        <w:fldChar w:fldCharType="end"/>
      </w:r>
      <w:r>
        <w:fldChar w:fldCharType="end"/>
      </w:r>
    </w:p>
    <w:p>
      <w:pPr>
        <w:spacing w:line="560" w:lineRule="exact"/>
        <w:ind w:left="368" w:hanging="385" w:hangingChars="175"/>
      </w:pPr>
      <w:r>
        <w:rPr>
          <w:bCs/>
        </w:rPr>
        <w:fldChar w:fldCharType="end"/>
      </w:r>
    </w:p>
    <w:p>
      <w:pPr>
        <w:spacing w:line="560" w:lineRule="exact"/>
        <w:outlineLvl w:val="0"/>
        <w:rPr>
          <w:rFonts w:ascii="宋体"/>
          <w:b/>
          <w:sz w:val="24"/>
        </w:rPr>
      </w:pPr>
    </w:p>
    <w:p>
      <w:pPr>
        <w:spacing w:line="560" w:lineRule="exact"/>
        <w:outlineLvl w:val="0"/>
        <w:rPr>
          <w:rFonts w:ascii="宋体"/>
          <w:b/>
          <w:sz w:val="24"/>
        </w:rPr>
      </w:pPr>
    </w:p>
    <w:p>
      <w:pPr>
        <w:spacing w:line="560" w:lineRule="exact"/>
        <w:outlineLvl w:val="0"/>
        <w:rPr>
          <w:rFonts w:ascii="宋体"/>
          <w:b/>
          <w:sz w:val="24"/>
        </w:rPr>
      </w:pPr>
    </w:p>
    <w:p>
      <w:pPr>
        <w:spacing w:line="560" w:lineRule="exact"/>
        <w:outlineLvl w:val="0"/>
        <w:rPr>
          <w:rFonts w:ascii="宋体"/>
          <w:b/>
          <w:sz w:val="24"/>
        </w:rPr>
      </w:pPr>
    </w:p>
    <w:p>
      <w:pPr>
        <w:spacing w:line="560" w:lineRule="exact"/>
        <w:outlineLvl w:val="0"/>
        <w:rPr>
          <w:rFonts w:ascii="宋体"/>
          <w:b/>
          <w:sz w:val="24"/>
        </w:rPr>
      </w:pPr>
    </w:p>
    <w:p>
      <w:pPr>
        <w:spacing w:line="560" w:lineRule="exact"/>
        <w:outlineLvl w:val="0"/>
        <w:rPr>
          <w:rFonts w:ascii="宋体"/>
          <w:b/>
          <w:sz w:val="24"/>
        </w:rPr>
      </w:pPr>
    </w:p>
    <w:p>
      <w:pPr>
        <w:spacing w:line="560" w:lineRule="exact"/>
        <w:outlineLvl w:val="0"/>
        <w:rPr>
          <w:rFonts w:ascii="宋体"/>
          <w:b/>
          <w:sz w:val="24"/>
        </w:rPr>
      </w:pPr>
    </w:p>
    <w:p>
      <w:pPr>
        <w:spacing w:line="560" w:lineRule="exact"/>
        <w:outlineLvl w:val="0"/>
        <w:rPr>
          <w:rFonts w:ascii="宋体"/>
          <w:b/>
          <w:sz w:val="24"/>
        </w:rPr>
      </w:pPr>
      <w:bookmarkStart w:id="0" w:name="_Toc440032585"/>
      <w:r>
        <w:rPr>
          <w:rFonts w:hint="eastAsia" w:ascii="宋体"/>
          <w:b/>
          <w:sz w:val="24"/>
        </w:rPr>
        <w:t>1</w:t>
      </w:r>
      <w:r>
        <w:rPr>
          <w:rFonts w:hint="eastAsia" w:ascii="宋体"/>
          <w:sz w:val="24"/>
        </w:rPr>
        <w:t xml:space="preserve"> </w:t>
      </w:r>
      <w:r>
        <w:rPr>
          <w:rFonts w:hint="eastAsia" w:ascii="宋体"/>
          <w:b/>
          <w:sz w:val="24"/>
        </w:rPr>
        <w:t>总则</w:t>
      </w:r>
      <w:bookmarkEnd w:id="0"/>
    </w:p>
    <w:p>
      <w:pPr>
        <w:tabs>
          <w:tab w:val="left" w:pos="0"/>
        </w:tabs>
        <w:spacing w:line="560" w:lineRule="exact"/>
        <w:rPr>
          <w:rFonts w:ascii="宋体"/>
          <w:sz w:val="24"/>
        </w:rPr>
      </w:pPr>
      <w:bookmarkStart w:id="1" w:name="_Toc440032586"/>
      <w:r>
        <w:rPr>
          <w:rFonts w:hint="eastAsia" w:ascii="宋体"/>
          <w:sz w:val="24"/>
        </w:rPr>
        <w:t>1. 总则</w:t>
      </w:r>
    </w:p>
    <w:p>
      <w:pPr>
        <w:tabs>
          <w:tab w:val="left" w:pos="0"/>
        </w:tabs>
        <w:spacing w:line="560" w:lineRule="exact"/>
        <w:rPr>
          <w:rFonts w:ascii="宋体"/>
          <w:sz w:val="24"/>
        </w:rPr>
      </w:pPr>
      <w:r>
        <w:rPr>
          <w:rFonts w:hint="eastAsia" w:ascii="宋体"/>
          <w:sz w:val="24"/>
        </w:rPr>
        <w:t>1.1 本技术规范书适用于国能</w:t>
      </w:r>
      <w:r>
        <w:rPr>
          <w:rFonts w:hint="eastAsia" w:ascii="宋体"/>
          <w:sz w:val="24"/>
          <w:lang w:eastAsia="zh-CN"/>
        </w:rPr>
        <w:t>蒙城</w:t>
      </w:r>
      <w:r>
        <w:rPr>
          <w:rFonts w:hint="eastAsia" w:ascii="宋体"/>
          <w:sz w:val="24"/>
        </w:rPr>
        <w:t xml:space="preserve">发电公司30MW汽轮机组冷却水塔配件，它提出了该系统设备的功能设计、结构、性能、安装和试验等方面的技术要求。 </w:t>
      </w:r>
    </w:p>
    <w:p>
      <w:pPr>
        <w:tabs>
          <w:tab w:val="left" w:pos="0"/>
        </w:tabs>
        <w:spacing w:line="560" w:lineRule="exact"/>
        <w:rPr>
          <w:rFonts w:ascii="宋体"/>
          <w:sz w:val="24"/>
        </w:rPr>
      </w:pPr>
      <w:r>
        <w:rPr>
          <w:rFonts w:hint="eastAsia" w:ascii="宋体"/>
          <w:sz w:val="24"/>
        </w:rPr>
        <w:t>1.2 本规范书提出的是最低限度的技术要求，并没有对所有技术细节作出规定，也未具体引述有关标准和规范的条文。投标方应保证提供符合本规范书和工业标准的优质产品。</w:t>
      </w:r>
    </w:p>
    <w:p>
      <w:pPr>
        <w:tabs>
          <w:tab w:val="left" w:pos="0"/>
        </w:tabs>
        <w:spacing w:line="560" w:lineRule="exact"/>
        <w:rPr>
          <w:rFonts w:ascii="宋体"/>
          <w:sz w:val="24"/>
        </w:rPr>
      </w:pPr>
      <w:r>
        <w:rPr>
          <w:rFonts w:hint="eastAsia" w:ascii="宋体"/>
          <w:sz w:val="24"/>
        </w:rPr>
        <w:t>1.3 如果需方有除本规范书以外的特殊要求，应以书面形式提出，并对每一点都作详细说明，载于本规范书之后。</w:t>
      </w:r>
    </w:p>
    <w:p>
      <w:pPr>
        <w:tabs>
          <w:tab w:val="left" w:pos="0"/>
        </w:tabs>
        <w:spacing w:line="560" w:lineRule="exact"/>
        <w:rPr>
          <w:rFonts w:ascii="宋体"/>
          <w:sz w:val="24"/>
        </w:rPr>
      </w:pPr>
      <w:r>
        <w:rPr>
          <w:rFonts w:hint="eastAsia" w:ascii="宋体"/>
          <w:sz w:val="24"/>
        </w:rPr>
        <w:t>1.4 如投标方没有以书面对本规范书的条文提出异议。那么需方可以认为投标方提出的产品完全满足本规范书的要求。</w:t>
      </w:r>
    </w:p>
    <w:p>
      <w:pPr>
        <w:tabs>
          <w:tab w:val="left" w:pos="0"/>
        </w:tabs>
        <w:spacing w:line="560" w:lineRule="exact"/>
        <w:rPr>
          <w:rFonts w:ascii="宋体"/>
          <w:sz w:val="24"/>
        </w:rPr>
      </w:pPr>
      <w:r>
        <w:rPr>
          <w:rFonts w:hint="eastAsia" w:ascii="宋体"/>
          <w:sz w:val="24"/>
        </w:rPr>
        <w:t>1.5 本规范书为订货合同的附件，与合同正文具有同等法律效力。</w:t>
      </w:r>
    </w:p>
    <w:p>
      <w:pPr>
        <w:tabs>
          <w:tab w:val="left" w:pos="0"/>
        </w:tabs>
        <w:spacing w:line="560" w:lineRule="exact"/>
        <w:rPr>
          <w:rFonts w:ascii="宋体"/>
          <w:b/>
          <w:sz w:val="24"/>
        </w:rPr>
      </w:pPr>
      <w:r>
        <w:rPr>
          <w:rFonts w:hint="eastAsia" w:ascii="宋体"/>
          <w:b/>
          <w:sz w:val="24"/>
        </w:rPr>
        <w:t>2技术要求：</w:t>
      </w:r>
      <w:bookmarkEnd w:id="1"/>
    </w:p>
    <w:p>
      <w:pPr>
        <w:rPr>
          <w:rFonts w:ascii="宋体"/>
          <w:sz w:val="24"/>
        </w:rPr>
      </w:pPr>
      <w:r>
        <w:rPr>
          <w:rFonts w:hint="eastAsia" w:ascii="宋体"/>
          <w:sz w:val="24"/>
        </w:rPr>
        <w:t>2.1设备参数：</w:t>
      </w:r>
    </w:p>
    <w:p>
      <w:pPr>
        <w:tabs>
          <w:tab w:val="left" w:pos="0"/>
        </w:tabs>
        <w:spacing w:line="560" w:lineRule="exact"/>
        <w:rPr>
          <w:rFonts w:hint="eastAsia" w:ascii="Arial" w:hAnsi="Arial" w:cs="Arial"/>
          <w:color w:val="000000"/>
          <w:kern w:val="0"/>
          <w:sz w:val="24"/>
        </w:rPr>
      </w:pPr>
      <w:r>
        <w:rPr>
          <w:rFonts w:hint="eastAsia" w:ascii="Arial" w:hAnsi="Arial" w:cs="Arial"/>
          <w:color w:val="000000"/>
          <w:kern w:val="0"/>
          <w:sz w:val="24"/>
        </w:rPr>
        <w:t>1、1200m2冷却塔填料喷水装置等（包括“S”波淋水填料、粘接剂、PVC除水器、反Ⅲ喷头、玻璃钢Ⅰ58托架等）。填料总高度为1.0m，分为上、下两层，每层0.5m；</w:t>
      </w:r>
    </w:p>
    <w:p>
      <w:pPr>
        <w:tabs>
          <w:tab w:val="left" w:pos="0"/>
        </w:tabs>
        <w:spacing w:line="560" w:lineRule="exact"/>
        <w:rPr>
          <w:rFonts w:hint="eastAsia" w:ascii="Arial" w:hAnsi="Arial" w:cs="Arial"/>
          <w:color w:val="000000"/>
          <w:kern w:val="0"/>
          <w:sz w:val="24"/>
        </w:rPr>
      </w:pPr>
      <w:r>
        <w:rPr>
          <w:rFonts w:hint="eastAsia" w:ascii="Arial" w:hAnsi="Arial" w:cs="Arial"/>
          <w:color w:val="000000"/>
          <w:kern w:val="0"/>
          <w:sz w:val="24"/>
        </w:rPr>
        <w:t>喷水填料原片的规格要求：</w:t>
      </w:r>
    </w:p>
    <w:tbl>
      <w:tblPr>
        <w:tblStyle w:val="5"/>
        <w:tblW w:w="5080" w:type="dxa"/>
        <w:tblInd w:w="103" w:type="dxa"/>
        <w:tblLayout w:type="fixed"/>
        <w:tblCellMar>
          <w:top w:w="0" w:type="dxa"/>
          <w:left w:w="108" w:type="dxa"/>
          <w:bottom w:w="0" w:type="dxa"/>
          <w:right w:w="108" w:type="dxa"/>
        </w:tblCellMar>
      </w:tblPr>
      <w:tblGrid>
        <w:gridCol w:w="2080"/>
        <w:gridCol w:w="1700"/>
        <w:gridCol w:w="1300"/>
      </w:tblGrid>
      <w:tr>
        <w:tblPrEx>
          <w:tblLayout w:type="fixed"/>
          <w:tblCellMar>
            <w:top w:w="0" w:type="dxa"/>
            <w:left w:w="108" w:type="dxa"/>
            <w:bottom w:w="0" w:type="dxa"/>
            <w:right w:w="108" w:type="dxa"/>
          </w:tblCellMar>
        </w:tblPrEx>
        <w:trPr>
          <w:trHeight w:val="450" w:hRule="atLeast"/>
        </w:trPr>
        <w:tc>
          <w:tcPr>
            <w:tcW w:w="2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项目</w:t>
            </w:r>
          </w:p>
        </w:tc>
        <w:tc>
          <w:tcPr>
            <w:tcW w:w="17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规格（mm）</w:t>
            </w:r>
          </w:p>
        </w:tc>
        <w:tc>
          <w:tcPr>
            <w:tcW w:w="13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公差</w:t>
            </w:r>
          </w:p>
        </w:tc>
      </w:tr>
      <w:tr>
        <w:tblPrEx>
          <w:tblLayout w:type="fixed"/>
          <w:tblCellMar>
            <w:top w:w="0" w:type="dxa"/>
            <w:left w:w="108" w:type="dxa"/>
            <w:bottom w:w="0" w:type="dxa"/>
            <w:right w:w="108" w:type="dxa"/>
          </w:tblCellMar>
        </w:tblPrEx>
        <w:trPr>
          <w:trHeight w:val="450" w:hRule="atLeast"/>
        </w:trPr>
        <w:tc>
          <w:tcPr>
            <w:tcW w:w="208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厚度</w:t>
            </w:r>
          </w:p>
        </w:tc>
        <w:tc>
          <w:tcPr>
            <w:tcW w:w="170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0.42</w:t>
            </w:r>
          </w:p>
        </w:tc>
        <w:tc>
          <w:tcPr>
            <w:tcW w:w="130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0.02</w:t>
            </w:r>
          </w:p>
        </w:tc>
      </w:tr>
      <w:tr>
        <w:tblPrEx>
          <w:tblLayout w:type="fixed"/>
          <w:tblCellMar>
            <w:top w:w="0" w:type="dxa"/>
            <w:left w:w="108" w:type="dxa"/>
            <w:bottom w:w="0" w:type="dxa"/>
            <w:right w:w="108" w:type="dxa"/>
          </w:tblCellMar>
        </w:tblPrEx>
        <w:trPr>
          <w:trHeight w:val="450" w:hRule="atLeast"/>
        </w:trPr>
        <w:tc>
          <w:tcPr>
            <w:tcW w:w="208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宽度</w:t>
            </w:r>
          </w:p>
        </w:tc>
        <w:tc>
          <w:tcPr>
            <w:tcW w:w="170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500</w:t>
            </w:r>
          </w:p>
        </w:tc>
        <w:tc>
          <w:tcPr>
            <w:tcW w:w="130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Layout w:type="fixed"/>
          <w:tblCellMar>
            <w:top w:w="0" w:type="dxa"/>
            <w:left w:w="108" w:type="dxa"/>
            <w:bottom w:w="0" w:type="dxa"/>
            <w:right w:w="108" w:type="dxa"/>
          </w:tblCellMar>
        </w:tblPrEx>
        <w:trPr>
          <w:trHeight w:val="450" w:hRule="atLeast"/>
        </w:trPr>
        <w:tc>
          <w:tcPr>
            <w:tcW w:w="2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长度</w:t>
            </w:r>
          </w:p>
        </w:tc>
        <w:tc>
          <w:tcPr>
            <w:tcW w:w="17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≥2000</w:t>
            </w:r>
          </w:p>
        </w:tc>
        <w:tc>
          <w:tcPr>
            <w:tcW w:w="13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bl>
    <w:p>
      <w:pPr>
        <w:tabs>
          <w:tab w:val="left" w:pos="0"/>
        </w:tabs>
        <w:spacing w:line="560" w:lineRule="exact"/>
        <w:rPr>
          <w:rFonts w:hint="eastAsia" w:ascii="Arial" w:hAnsi="Arial" w:cs="Arial"/>
          <w:color w:val="000000"/>
          <w:kern w:val="0"/>
          <w:sz w:val="24"/>
        </w:rPr>
      </w:pPr>
      <w:r>
        <w:rPr>
          <w:rFonts w:hint="eastAsia" w:ascii="Arial" w:hAnsi="Arial" w:cs="Arial"/>
          <w:color w:val="000000"/>
          <w:kern w:val="0"/>
          <w:sz w:val="24"/>
        </w:rPr>
        <w:t>2、喷头采用反射Ⅲ型喷嘴，规格有直径26mm，直径28mm两种，材质采用ABS工程塑料；喷溅装置是配水系统的主要组成部分，本工程主要采用反射Ⅲ型喷头，喷嘴直径26mm、直径28mm两种规格，材质采用ABS工程塑料。由喷嘴、溅水碟、支架及螺母等构件组合而成，供货范围包括与配水管连接耳接、喷头、连接件</w:t>
      </w:r>
    </w:p>
    <w:p>
      <w:pPr>
        <w:tabs>
          <w:tab w:val="left" w:pos="0"/>
        </w:tabs>
        <w:spacing w:line="360" w:lineRule="auto"/>
        <w:rPr>
          <w:rFonts w:hint="eastAsia" w:ascii="Arial" w:hAnsi="Arial" w:cs="Arial"/>
          <w:color w:val="000000"/>
          <w:kern w:val="0"/>
          <w:sz w:val="24"/>
        </w:rPr>
      </w:pPr>
      <w:r>
        <w:rPr>
          <w:rFonts w:hint="eastAsia" w:ascii="Arial" w:hAnsi="Arial" w:cs="Arial"/>
          <w:color w:val="000000"/>
          <w:kern w:val="0"/>
          <w:sz w:val="24"/>
        </w:rPr>
        <w:t>3、除水器采用PVC塑料除水器，材质为阻燃性聚氯乙烯，挤塑成型；塑料除水器主要部件（弧片）采用改性聚氯乙烯（PVC）材质，挤出工艺制作，具有高效、低阻的基本使用性能。PVC材质有足够的组装强度和风度；具有耐燃自熄的阻燃特性；PVC材质适合在湿热环境中长期工作，具有良好的耐湿热老化性能，使用年限不少于20年。在任何工况下，除水器的除水效率为99.9%，以保证冷却塔内循环水量的风吹损失≤0.05%.</w:t>
      </w:r>
    </w:p>
    <w:p>
      <w:pPr>
        <w:tabs>
          <w:tab w:val="left" w:pos="0"/>
        </w:tabs>
        <w:spacing w:line="360" w:lineRule="auto"/>
        <w:rPr>
          <w:rFonts w:hint="eastAsia" w:ascii="Arial" w:hAnsi="Arial" w:cs="Arial"/>
          <w:color w:val="000000"/>
          <w:kern w:val="0"/>
          <w:sz w:val="24"/>
        </w:rPr>
      </w:pPr>
      <w:r>
        <w:rPr>
          <w:rFonts w:hint="eastAsia" w:ascii="Arial" w:hAnsi="Arial" w:cs="Arial"/>
          <w:color w:val="000000"/>
          <w:kern w:val="0"/>
          <w:sz w:val="24"/>
        </w:rPr>
        <w:t>4、冷却塔硬配水管系用聚氯乙烯树脂与改性稳定剂等配全制成，满足下列要求：配水管当夏季水温达到65℃时不软化变形，当冬季气温达最低气温时且冷却塔停运时配水管内无水或启动充水时不脆裂。在管内充满65℃的热水，在自重作用下，挠度≤L/300，空管上加2×50kg荷载，在-35℃下保持24小时不破坏；管材在同一截面的壁厚偏差≤14%；管材的外径及壁厚符合要求：管外径160＋0.5mm，管壁厚度4.7＋0.2mm</w:t>
      </w:r>
    </w:p>
    <w:p>
      <w:pPr>
        <w:tabs>
          <w:tab w:val="left" w:pos="0"/>
        </w:tabs>
        <w:spacing w:line="360" w:lineRule="auto"/>
        <w:rPr>
          <w:rFonts w:ascii="Arial" w:hAnsi="Arial" w:cs="Arial"/>
          <w:color w:val="000000"/>
          <w:kern w:val="0"/>
          <w:sz w:val="24"/>
        </w:rPr>
      </w:pPr>
      <w:r>
        <w:rPr>
          <w:rFonts w:hint="eastAsia" w:ascii="Arial" w:hAnsi="Arial" w:cs="Arial"/>
          <w:color w:val="000000"/>
          <w:kern w:val="0"/>
          <w:sz w:val="24"/>
        </w:rPr>
        <w:t>2.2 现场情况：</w:t>
      </w:r>
    </w:p>
    <w:p>
      <w:pPr>
        <w:spacing w:line="360" w:lineRule="auto"/>
        <w:rPr>
          <w:rFonts w:ascii="宋体" w:hAnsi="宋体"/>
          <w:sz w:val="24"/>
        </w:rPr>
      </w:pPr>
      <w:r>
        <w:rPr>
          <w:rFonts w:hint="eastAsia" w:ascii="宋体" w:hAnsi="宋体"/>
          <w:sz w:val="24"/>
        </w:rPr>
        <w:t>技术性能要求</w:t>
      </w:r>
    </w:p>
    <w:p>
      <w:pPr>
        <w:spacing w:line="360" w:lineRule="auto"/>
        <w:rPr>
          <w:rFonts w:ascii="宋体" w:hAnsi="宋体"/>
          <w:sz w:val="24"/>
        </w:rPr>
      </w:pPr>
      <w:r>
        <w:rPr>
          <w:rFonts w:hint="eastAsia" w:ascii="宋体" w:hAnsi="宋体"/>
          <w:sz w:val="24"/>
        </w:rPr>
        <w:t>2.2.1 投标方所提供的设备必须是技术先进、经济合理，成熟可靠的产品。具有较高的运行灵活性，能适应机组变工况的要求。</w:t>
      </w:r>
    </w:p>
    <w:p>
      <w:pPr>
        <w:spacing w:line="360" w:lineRule="auto"/>
        <w:rPr>
          <w:rFonts w:ascii="宋体" w:hAnsi="宋体"/>
          <w:sz w:val="24"/>
        </w:rPr>
      </w:pPr>
      <w:r>
        <w:rPr>
          <w:rFonts w:hint="eastAsia" w:ascii="宋体" w:hAnsi="宋体"/>
          <w:sz w:val="24"/>
        </w:rPr>
        <w:t>2.2.2 设备在各运行工况范围内的流量、冷却效果等不允许产生负值的偏差。</w:t>
      </w:r>
    </w:p>
    <w:p>
      <w:pPr>
        <w:spacing w:line="360" w:lineRule="auto"/>
        <w:rPr>
          <w:rFonts w:ascii="宋体" w:hAnsi="宋体"/>
          <w:sz w:val="24"/>
        </w:rPr>
      </w:pPr>
      <w:r>
        <w:rPr>
          <w:rFonts w:hint="eastAsia" w:ascii="宋体" w:hAnsi="宋体"/>
          <w:sz w:val="24"/>
        </w:rPr>
        <w:t>2.2.3 1淋水填料组装刚度好、承载能力强，在正常运行、使用条件下不变形扭曲，不松散倒伏，能保持常年稳定的高效运行，其寿命不少于20年。淋水填料具有热力特性好、通风阻力小的基本性能。组装块的尺寸大，通道尺寸为30mm（能通过25mm小胶球），通畅性能好，不易堵塞，填料的冷却系数应不大于1.9，气水比的指数应不大于0.55，能保持长期稳定的冷却特性。</w:t>
      </w:r>
    </w:p>
    <w:p>
      <w:pPr>
        <w:spacing w:line="360" w:lineRule="auto"/>
        <w:outlineLvl w:val="0"/>
        <w:rPr>
          <w:rFonts w:ascii="宋体"/>
          <w:sz w:val="24"/>
        </w:rPr>
      </w:pPr>
      <w:r>
        <w:rPr>
          <w:rFonts w:hint="eastAsia" w:ascii="宋体"/>
          <w:sz w:val="24"/>
        </w:rPr>
        <w:t>3供货范围</w:t>
      </w:r>
    </w:p>
    <w:p>
      <w:pPr>
        <w:spacing w:line="360" w:lineRule="auto"/>
        <w:outlineLvl w:val="0"/>
        <w:rPr>
          <w:rFonts w:ascii="宋体"/>
          <w:sz w:val="24"/>
        </w:rPr>
      </w:pPr>
      <w:r>
        <w:rPr>
          <w:rFonts w:hint="eastAsia" w:ascii="宋体"/>
          <w:sz w:val="24"/>
        </w:rPr>
        <w:t>3.1 一般要求：</w:t>
      </w:r>
    </w:p>
    <w:p>
      <w:pPr>
        <w:spacing w:line="360" w:lineRule="auto"/>
        <w:outlineLvl w:val="0"/>
        <w:rPr>
          <w:rFonts w:ascii="宋体"/>
          <w:sz w:val="24"/>
        </w:rPr>
      </w:pPr>
      <w:r>
        <w:rPr>
          <w:rFonts w:hint="eastAsia" w:ascii="宋体"/>
          <w:sz w:val="24"/>
        </w:rPr>
        <w:t>3.1.1投标方应提供详细的供货清单，并在投标书中列出。清单中依次说明名称、规 格、型号、数量、产地、生产厂家等内容。对于属于整套设备运行和施工所必需的部件，即使未列出或数目不足，投标方仍需在执行合同时补足。</w:t>
      </w:r>
    </w:p>
    <w:p>
      <w:pPr>
        <w:spacing w:line="360" w:lineRule="auto"/>
        <w:outlineLvl w:val="0"/>
        <w:rPr>
          <w:rFonts w:ascii="宋体"/>
          <w:sz w:val="24"/>
        </w:rPr>
      </w:pPr>
      <w:r>
        <w:rPr>
          <w:rFonts w:hint="eastAsia" w:ascii="宋体"/>
          <w:sz w:val="24"/>
        </w:rPr>
        <w:t xml:space="preserve">3.1.2 投标方应提供所有安装、调试阶段所需专用工具和备品备件，并提供详细供货 清单。 </w:t>
      </w:r>
    </w:p>
    <w:p>
      <w:pPr>
        <w:spacing w:line="360" w:lineRule="auto"/>
        <w:outlineLvl w:val="0"/>
        <w:rPr>
          <w:rFonts w:hint="eastAsia" w:ascii="宋体"/>
          <w:sz w:val="24"/>
        </w:rPr>
      </w:pPr>
      <w:r>
        <w:rPr>
          <w:rFonts w:hint="eastAsia" w:ascii="宋体"/>
          <w:sz w:val="24"/>
        </w:rPr>
        <w:t xml:space="preserve">3.1.3 投标方提供随机备品备件和3年运行所需的备品备件，并在投标书中列出。 </w:t>
      </w:r>
    </w:p>
    <w:p>
      <w:pPr>
        <w:spacing w:line="360" w:lineRule="auto"/>
        <w:outlineLvl w:val="0"/>
        <w:rPr>
          <w:rFonts w:ascii="宋体"/>
          <w:sz w:val="24"/>
        </w:rPr>
      </w:pPr>
      <w:r>
        <w:rPr>
          <w:rFonts w:hint="eastAsia" w:ascii="宋体"/>
          <w:sz w:val="24"/>
        </w:rPr>
        <w:t xml:space="preserve">3.1.4 投标方提供设备的进口件清单，并在投标书中列出。  </w:t>
      </w:r>
    </w:p>
    <w:p>
      <w:pPr>
        <w:spacing w:line="360" w:lineRule="auto"/>
        <w:outlineLvl w:val="0"/>
        <w:rPr>
          <w:rFonts w:ascii="宋体"/>
          <w:sz w:val="24"/>
        </w:rPr>
      </w:pPr>
      <w:r>
        <w:rPr>
          <w:rFonts w:hint="eastAsia" w:ascii="宋体"/>
          <w:sz w:val="24"/>
        </w:rPr>
        <w:t>3.1.5凡属分包和外购部分，投标方须至少提供2~3个生产厂家，并附简要的资质文 件，以供需方确认。</w:t>
      </w:r>
    </w:p>
    <w:tbl>
      <w:tblPr>
        <w:tblStyle w:val="5"/>
        <w:tblW w:w="7820"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1757"/>
        <w:gridCol w:w="1757"/>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3262" w:type="dxa"/>
            <w:noWrap w:val="0"/>
            <w:vAlign w:val="center"/>
          </w:tcPr>
          <w:p>
            <w:pPr>
              <w:spacing w:line="360" w:lineRule="auto"/>
              <w:jc w:val="center"/>
            </w:pPr>
            <w:r>
              <w:rPr>
                <w:rFonts w:hint="eastAsia"/>
              </w:rPr>
              <w:t>名        称</w:t>
            </w:r>
          </w:p>
        </w:tc>
        <w:tc>
          <w:tcPr>
            <w:tcW w:w="1757" w:type="dxa"/>
            <w:noWrap w:val="0"/>
            <w:vAlign w:val="center"/>
          </w:tcPr>
          <w:p>
            <w:pPr>
              <w:spacing w:line="360" w:lineRule="auto"/>
              <w:jc w:val="center"/>
            </w:pPr>
            <w:r>
              <w:rPr>
                <w:rFonts w:hint="eastAsia"/>
              </w:rPr>
              <w:t>型号</w:t>
            </w:r>
          </w:p>
        </w:tc>
        <w:tc>
          <w:tcPr>
            <w:tcW w:w="1757" w:type="dxa"/>
            <w:noWrap w:val="0"/>
            <w:vAlign w:val="center"/>
          </w:tcPr>
          <w:p>
            <w:pPr>
              <w:spacing w:line="360" w:lineRule="auto"/>
              <w:jc w:val="center"/>
            </w:pPr>
            <w:r>
              <w:rPr>
                <w:rFonts w:hint="eastAsia"/>
              </w:rPr>
              <w:t>数   量</w:t>
            </w:r>
          </w:p>
        </w:tc>
        <w:tc>
          <w:tcPr>
            <w:tcW w:w="1044" w:type="dxa"/>
            <w:noWrap w:val="0"/>
            <w:vAlign w:val="center"/>
          </w:tcPr>
          <w:p>
            <w:pPr>
              <w:spacing w:line="360" w:lineRule="auto"/>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3262" w:type="dxa"/>
            <w:noWrap w:val="0"/>
            <w:vAlign w:val="top"/>
          </w:tcPr>
          <w:p>
            <w:pPr>
              <w:spacing w:line="360" w:lineRule="auto"/>
              <w:jc w:val="center"/>
            </w:pPr>
            <w:r>
              <w:rPr>
                <w:rFonts w:hint="eastAsia"/>
              </w:rPr>
              <w:t>喷水填料</w:t>
            </w:r>
          </w:p>
        </w:tc>
        <w:tc>
          <w:tcPr>
            <w:tcW w:w="1757" w:type="dxa"/>
            <w:noWrap w:val="0"/>
            <w:vAlign w:val="top"/>
          </w:tcPr>
          <w:p>
            <w:pPr>
              <w:spacing w:line="360" w:lineRule="auto"/>
              <w:jc w:val="center"/>
              <w:rPr>
                <w:rFonts w:ascii="宋体"/>
                <w:sz w:val="24"/>
              </w:rPr>
            </w:pPr>
            <w:r>
              <w:rPr>
                <w:rFonts w:hint="eastAsia" w:ascii="宋体"/>
                <w:sz w:val="24"/>
              </w:rPr>
              <w:t>“S”波淋水填料</w:t>
            </w:r>
          </w:p>
        </w:tc>
        <w:tc>
          <w:tcPr>
            <w:tcW w:w="1757" w:type="dxa"/>
            <w:noWrap w:val="0"/>
            <w:vAlign w:val="top"/>
          </w:tcPr>
          <w:p>
            <w:pPr>
              <w:spacing w:line="360" w:lineRule="auto"/>
              <w:jc w:val="center"/>
            </w:pPr>
            <w:r>
              <w:rPr>
                <w:rFonts w:hint="eastAsia"/>
              </w:rPr>
              <w:t>200平方米</w:t>
            </w:r>
          </w:p>
        </w:tc>
        <w:tc>
          <w:tcPr>
            <w:tcW w:w="1044" w:type="dxa"/>
            <w:noWrap w:val="0"/>
            <w:vAlign w:val="top"/>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262" w:type="dxa"/>
            <w:noWrap w:val="0"/>
            <w:vAlign w:val="top"/>
          </w:tcPr>
          <w:p>
            <w:pPr>
              <w:spacing w:line="360" w:lineRule="auto"/>
              <w:jc w:val="center"/>
            </w:pPr>
            <w:r>
              <w:rPr>
                <w:rFonts w:hint="eastAsia"/>
              </w:rPr>
              <w:t>除水器</w:t>
            </w:r>
          </w:p>
        </w:tc>
        <w:tc>
          <w:tcPr>
            <w:tcW w:w="1757" w:type="dxa"/>
            <w:noWrap w:val="0"/>
            <w:vAlign w:val="top"/>
          </w:tcPr>
          <w:p>
            <w:pPr>
              <w:spacing w:line="360" w:lineRule="auto"/>
              <w:jc w:val="center"/>
              <w:rPr>
                <w:rFonts w:ascii="宋体"/>
                <w:sz w:val="24"/>
              </w:rPr>
            </w:pPr>
          </w:p>
        </w:tc>
        <w:tc>
          <w:tcPr>
            <w:tcW w:w="1757" w:type="dxa"/>
            <w:noWrap w:val="0"/>
            <w:vAlign w:val="top"/>
          </w:tcPr>
          <w:p>
            <w:pPr>
              <w:spacing w:line="360" w:lineRule="auto"/>
              <w:jc w:val="center"/>
            </w:pPr>
            <w:r>
              <w:rPr>
                <w:rFonts w:hint="eastAsia"/>
              </w:rPr>
              <w:t>200平方米</w:t>
            </w:r>
          </w:p>
        </w:tc>
        <w:tc>
          <w:tcPr>
            <w:tcW w:w="1044" w:type="dxa"/>
            <w:noWrap w:val="0"/>
            <w:vAlign w:val="top"/>
          </w:tcPr>
          <w:p>
            <w:pPr>
              <w:spacing w:line="360" w:lineRule="auto"/>
              <w:jc w:val="center"/>
            </w:pPr>
          </w:p>
        </w:tc>
      </w:tr>
    </w:tbl>
    <w:p>
      <w:pPr>
        <w:spacing w:line="360" w:lineRule="auto"/>
        <w:outlineLvl w:val="0"/>
        <w:rPr>
          <w:rFonts w:ascii="宋体"/>
          <w:b/>
          <w:sz w:val="24"/>
        </w:rPr>
      </w:pPr>
      <w:bookmarkStart w:id="2" w:name="_Toc440032588"/>
      <w:r>
        <w:rPr>
          <w:rFonts w:hint="eastAsia" w:ascii="宋体"/>
          <w:b/>
          <w:sz w:val="24"/>
        </w:rPr>
        <w:t>4技术服务</w:t>
      </w:r>
      <w:bookmarkEnd w:id="2"/>
    </w:p>
    <w:p>
      <w:pPr>
        <w:spacing w:line="360" w:lineRule="auto"/>
        <w:rPr>
          <w:rFonts w:ascii="宋体"/>
          <w:sz w:val="24"/>
        </w:rPr>
      </w:pPr>
      <w:r>
        <w:rPr>
          <w:rFonts w:hint="eastAsia" w:ascii="宋体"/>
          <w:sz w:val="24"/>
        </w:rPr>
        <w:t>4.1 设计阶段：在拿到中标通知书后 7 日内提供可满足设计需要的全部技术资料，并提供随时技术咨询及服务；</w:t>
      </w:r>
    </w:p>
    <w:p>
      <w:pPr>
        <w:spacing w:line="360" w:lineRule="auto"/>
        <w:rPr>
          <w:rFonts w:ascii="宋体"/>
          <w:sz w:val="24"/>
        </w:rPr>
      </w:pPr>
      <w:r>
        <w:rPr>
          <w:rFonts w:hint="eastAsia" w:ascii="宋体"/>
          <w:sz w:val="24"/>
        </w:rPr>
        <w:t>4.2 供货安装阶段：拿到中标通知书 45 天内向招标方提供相关产品的全套技术文件及其图纸、资料、安装使用说明书，配合完成货物清点、交接、验收工作；</w:t>
      </w:r>
    </w:p>
    <w:p>
      <w:pPr>
        <w:spacing w:line="360" w:lineRule="auto"/>
        <w:rPr>
          <w:rFonts w:ascii="宋体"/>
          <w:sz w:val="24"/>
        </w:rPr>
      </w:pPr>
      <w:r>
        <w:rPr>
          <w:rFonts w:hint="eastAsia" w:ascii="宋体"/>
          <w:sz w:val="24"/>
        </w:rPr>
        <w:t>4.3 调试阶段：根据招标方要求，按时派技术人员到场配合调试，及时向招标方提出预见性意见。</w:t>
      </w:r>
    </w:p>
    <w:p>
      <w:pPr>
        <w:spacing w:line="360" w:lineRule="auto"/>
        <w:outlineLvl w:val="0"/>
        <w:rPr>
          <w:rFonts w:ascii="宋体"/>
          <w:b/>
          <w:sz w:val="24"/>
        </w:rPr>
      </w:pPr>
      <w:bookmarkStart w:id="3" w:name="_Toc440032589"/>
      <w:r>
        <w:rPr>
          <w:rFonts w:hint="eastAsia" w:ascii="宋体"/>
          <w:b/>
          <w:sz w:val="24"/>
        </w:rPr>
        <w:t>5质量保证和试验</w:t>
      </w:r>
      <w:bookmarkEnd w:id="3"/>
    </w:p>
    <w:p>
      <w:pPr>
        <w:spacing w:line="360" w:lineRule="auto"/>
        <w:rPr>
          <w:rFonts w:ascii="宋体"/>
          <w:sz w:val="24"/>
        </w:rPr>
      </w:pPr>
      <w:bookmarkStart w:id="4" w:name="_Toc440032590"/>
      <w:r>
        <w:rPr>
          <w:rFonts w:hint="eastAsia" w:ascii="宋体"/>
          <w:sz w:val="24"/>
        </w:rPr>
        <w:t>5.1 质量保证期为产品到货后 18 个月或正常投运后一年。乙方所供产品在质保期前如因乙方原因造成质量问题，乙方无偿修理和更换，并承担由此给甲方造成的经济损失；若发生在联合试运转期间，由乙方产品而影响联合试运转的，乙方应负担安装调试二次安装调试费用和赔偿甲方误时费及由此造成的二次点火联合试运转所发生的所有费用；若非乙方质量原因造成的，乙方负责及时维修和更换，费用由责任方承担。质保期满后，如出现问题，乙方应及时修复和更换，并只收取成本费，并提供及时的质优价廉的技术服务和备品、备件供应。</w:t>
      </w:r>
    </w:p>
    <w:p>
      <w:pPr>
        <w:spacing w:line="360" w:lineRule="auto"/>
        <w:rPr>
          <w:rFonts w:ascii="宋体"/>
          <w:sz w:val="24"/>
        </w:rPr>
      </w:pPr>
      <w:r>
        <w:rPr>
          <w:rFonts w:hint="eastAsia" w:ascii="宋体"/>
          <w:sz w:val="24"/>
        </w:rPr>
        <w:t>5.2 乙方保证按甲方规定时间交货，若乙方延迟交货应向甲方支付迟交违约金，每迟交一天罚款 1%，直至到货为止（因甲方要求推迟交货期除外）。</w:t>
      </w:r>
    </w:p>
    <w:p>
      <w:pPr>
        <w:spacing w:line="360" w:lineRule="auto"/>
        <w:rPr>
          <w:rFonts w:ascii="宋体"/>
          <w:sz w:val="24"/>
        </w:rPr>
      </w:pPr>
      <w:r>
        <w:rPr>
          <w:rFonts w:hint="eastAsia" w:ascii="宋体"/>
          <w:sz w:val="24"/>
        </w:rPr>
        <w:t>5.3 乙方保证按甲方要求和市场需要搞好服务，如果由于乙方不及时服务，每延误一周应向甲方支付规定款的 0.05%的违约金，并承担甲方由此造成的直接经济损失。</w:t>
      </w:r>
    </w:p>
    <w:p>
      <w:pPr>
        <w:spacing w:line="360" w:lineRule="auto"/>
        <w:outlineLvl w:val="0"/>
        <w:rPr>
          <w:rFonts w:ascii="宋体"/>
          <w:b/>
          <w:sz w:val="24"/>
        </w:rPr>
      </w:pPr>
      <w:r>
        <w:rPr>
          <w:rFonts w:hint="eastAsia" w:ascii="宋体"/>
          <w:b/>
          <w:sz w:val="24"/>
        </w:rPr>
        <w:t>6文件资料交付</w:t>
      </w:r>
      <w:bookmarkEnd w:id="4"/>
    </w:p>
    <w:p>
      <w:pPr>
        <w:spacing w:line="360" w:lineRule="auto"/>
        <w:rPr>
          <w:rFonts w:ascii="宋体" w:hAnsi="宋体"/>
          <w:sz w:val="24"/>
        </w:rPr>
      </w:pPr>
      <w:bookmarkStart w:id="5" w:name="_Toc440032591"/>
      <w:r>
        <w:rPr>
          <w:rFonts w:hint="eastAsia" w:ascii="宋体" w:hAnsi="宋体"/>
          <w:sz w:val="24"/>
        </w:rPr>
        <w:t>6.1 一般要求</w:t>
      </w:r>
    </w:p>
    <w:p>
      <w:pPr>
        <w:spacing w:line="360" w:lineRule="auto"/>
        <w:rPr>
          <w:rFonts w:ascii="宋体" w:hAnsi="宋体"/>
          <w:sz w:val="24"/>
        </w:rPr>
      </w:pPr>
      <w:r>
        <w:rPr>
          <w:rFonts w:hint="eastAsia" w:ascii="宋体" w:hAnsi="宋体"/>
          <w:sz w:val="24"/>
        </w:rPr>
        <w:t>6.1.1 投标方提供的资料应使用国家法定单位制即国际单位制，语言为中文。</w:t>
      </w:r>
    </w:p>
    <w:p>
      <w:pPr>
        <w:spacing w:line="360" w:lineRule="auto"/>
        <w:rPr>
          <w:rFonts w:ascii="宋体" w:hAnsi="宋体"/>
          <w:sz w:val="24"/>
        </w:rPr>
      </w:pPr>
      <w:r>
        <w:rPr>
          <w:rFonts w:hint="eastAsia" w:ascii="宋体" w:hAnsi="宋体"/>
          <w:sz w:val="24"/>
        </w:rPr>
        <w:t>6.1.2 资料的组织结构清晰、逻辑性强。资料内容要正确、准确、一致、清晰完整，满足工程要求。</w:t>
      </w:r>
    </w:p>
    <w:p>
      <w:pPr>
        <w:spacing w:line="360" w:lineRule="auto"/>
        <w:rPr>
          <w:rFonts w:ascii="宋体" w:hAnsi="宋体"/>
          <w:sz w:val="24"/>
        </w:rPr>
      </w:pPr>
      <w:r>
        <w:rPr>
          <w:rFonts w:hint="eastAsia" w:ascii="宋体" w:hAnsi="宋体"/>
          <w:sz w:val="24"/>
        </w:rPr>
        <w:t>6.1.3 对于其它没有列入合同技术资料清单，确是工程所必需的文件和资料，一经发现，投标方也应及时免费提供。</w:t>
      </w:r>
    </w:p>
    <w:p>
      <w:pPr>
        <w:spacing w:line="360" w:lineRule="auto"/>
        <w:rPr>
          <w:rFonts w:ascii="宋体" w:hAnsi="宋体"/>
          <w:sz w:val="24"/>
        </w:rPr>
      </w:pPr>
      <w:r>
        <w:rPr>
          <w:rFonts w:hint="eastAsia" w:ascii="宋体" w:hAnsi="宋体"/>
          <w:sz w:val="24"/>
        </w:rPr>
        <w:t>6.1.3 投标方要在拿到中标通知书一周内提供与合同设备设计制造有关的资料，并加盖提资专用章。</w:t>
      </w:r>
    </w:p>
    <w:p>
      <w:pPr>
        <w:spacing w:line="360" w:lineRule="auto"/>
        <w:rPr>
          <w:rFonts w:ascii="宋体" w:hAnsi="宋体"/>
          <w:sz w:val="24"/>
        </w:rPr>
      </w:pPr>
      <w:r>
        <w:rPr>
          <w:rFonts w:hint="eastAsia" w:ascii="宋体" w:hAnsi="宋体"/>
          <w:sz w:val="24"/>
        </w:rPr>
        <w:t>6.1.4 投标方提供的冷油器配件的技术资料和图纸。技术资料以 A4 幅面提供，图纸以手风琴式折叠成 A4幅面。</w:t>
      </w:r>
    </w:p>
    <w:p>
      <w:pPr>
        <w:spacing w:line="360" w:lineRule="auto"/>
        <w:rPr>
          <w:rFonts w:ascii="宋体" w:hAnsi="宋体"/>
          <w:sz w:val="24"/>
        </w:rPr>
      </w:pPr>
      <w:r>
        <w:rPr>
          <w:rFonts w:hint="eastAsia" w:ascii="宋体" w:hAnsi="宋体"/>
          <w:sz w:val="24"/>
        </w:rPr>
        <w:t>6.2 资料提交的基本要求</w:t>
      </w:r>
    </w:p>
    <w:p>
      <w:pPr>
        <w:spacing w:line="360" w:lineRule="auto"/>
        <w:rPr>
          <w:rFonts w:ascii="宋体" w:hAnsi="宋体"/>
          <w:sz w:val="24"/>
        </w:rPr>
      </w:pPr>
      <w:r>
        <w:rPr>
          <w:rFonts w:hint="eastAsia" w:ascii="宋体" w:hAnsi="宋体"/>
          <w:sz w:val="24"/>
        </w:rPr>
        <w:t>6.2.1 随机供货文件，交付文件包括产品质量证明书、各类检验试验报告、产品装箱清单、产品安装使用说明书、产品技术条件书等。</w:t>
      </w:r>
    </w:p>
    <w:p>
      <w:pPr>
        <w:spacing w:line="360" w:lineRule="auto"/>
      </w:pPr>
      <w:r>
        <w:rPr>
          <w:rFonts w:hint="eastAsia" w:ascii="宋体" w:hAnsi="宋体"/>
          <w:sz w:val="24"/>
        </w:rPr>
        <w:t>6.2.2提供的资料的内容，应满足设计和设备在现场的安装、调试、验收、运行、维护和检修的需要。</w:t>
      </w:r>
    </w:p>
    <w:p>
      <w:pPr>
        <w:spacing w:line="360" w:lineRule="auto"/>
        <w:outlineLvl w:val="0"/>
        <w:rPr>
          <w:rFonts w:ascii="宋体"/>
          <w:b/>
          <w:sz w:val="24"/>
        </w:rPr>
      </w:pPr>
      <w:r>
        <w:rPr>
          <w:rFonts w:hint="eastAsia" w:ascii="宋体"/>
          <w:b/>
          <w:sz w:val="24"/>
        </w:rPr>
        <w:t>7售后服务</w:t>
      </w:r>
      <w:bookmarkEnd w:id="5"/>
    </w:p>
    <w:p>
      <w:pPr>
        <w:spacing w:line="360" w:lineRule="auto"/>
        <w:rPr>
          <w:rFonts w:ascii="宋体"/>
          <w:sz w:val="24"/>
        </w:rPr>
      </w:pPr>
      <w:r>
        <w:rPr>
          <w:rFonts w:hint="eastAsia" w:ascii="宋体"/>
          <w:sz w:val="24"/>
        </w:rPr>
        <w:t>7.1 质量保证期为产品到货后 18 个月或正常投运后一年。乙方所供产品在质保期前如因乙方原因造成质量问题，乙方无偿修理和更换，并承担由此给甲方造成的经济损失；若发生在联合试运转期间，由乙方产品而影响联合试运转的，乙方应负担安装调试二次安装调试费用和赔偿甲方误时费及由此造成的二次点火联合试运转所发生的所有费用；若非乙方质量原因造成的，乙方负责及时维修和更换，费用由责任方承担。质保期满后，如出现问题，乙方应及时修复和更换，并只收取成本费，并提供及时的质优价廉的技术服务和备品、备件供应。</w:t>
      </w:r>
    </w:p>
    <w:p>
      <w:pPr>
        <w:spacing w:line="360" w:lineRule="auto"/>
        <w:rPr>
          <w:rFonts w:ascii="宋体"/>
          <w:sz w:val="24"/>
        </w:rPr>
      </w:pPr>
      <w:r>
        <w:rPr>
          <w:rFonts w:hint="eastAsia" w:ascii="宋体"/>
          <w:sz w:val="24"/>
        </w:rPr>
        <w:t>7.2 乙方保证按甲方规定时间交货，若乙方延迟交货应向甲方支付迟交违约金，每迟交一天罚款 1%，直至到货为止（因甲方要求推迟交货期除外）。</w:t>
      </w:r>
    </w:p>
    <w:p>
      <w:pPr>
        <w:spacing w:line="360" w:lineRule="auto"/>
        <w:rPr>
          <w:rFonts w:hint="eastAsia" w:ascii="宋体"/>
          <w:sz w:val="24"/>
        </w:rPr>
      </w:pPr>
      <w:r>
        <w:rPr>
          <w:rFonts w:hint="eastAsia" w:ascii="宋体"/>
          <w:sz w:val="24"/>
        </w:rPr>
        <w:t>7.3 乙方保证按甲方要求和市场需要搞好服务，如果由于乙方不及时服务，每延误一周应向甲方支付规定款的 0.05%的违约金，并承担甲方由此造成的直接经济损失。</w:t>
      </w:r>
    </w:p>
    <w:p>
      <w:pPr>
        <w:spacing w:line="360" w:lineRule="auto"/>
        <w:rPr>
          <w:rFonts w:hint="eastAsia" w:ascii="宋体"/>
          <w:sz w:val="24"/>
        </w:rPr>
      </w:pPr>
      <w:bookmarkStart w:id="6" w:name="_GoBack"/>
      <w:bookmarkEnd w:id="6"/>
    </w:p>
    <w:p>
      <w:pPr>
        <w:spacing w:line="360" w:lineRule="auto"/>
        <w:rPr>
          <w:rFonts w:hint="eastAsia" w:ascii="宋体"/>
          <w:sz w:val="24"/>
        </w:rPr>
      </w:pPr>
    </w:p>
    <w:tbl>
      <w:tblPr>
        <w:tblStyle w:val="5"/>
        <w:tblW w:w="9015" w:type="dxa"/>
        <w:tblInd w:w="0" w:type="dxa"/>
        <w:shd w:val="clear" w:color="auto" w:fill="auto"/>
        <w:tblLayout w:type="fixed"/>
        <w:tblCellMar>
          <w:top w:w="0" w:type="dxa"/>
          <w:left w:w="0" w:type="dxa"/>
          <w:bottom w:w="0" w:type="dxa"/>
          <w:right w:w="0" w:type="dxa"/>
        </w:tblCellMar>
      </w:tblPr>
      <w:tblGrid>
        <w:gridCol w:w="1080"/>
        <w:gridCol w:w="2551"/>
        <w:gridCol w:w="2412"/>
        <w:gridCol w:w="2972"/>
      </w:tblGrid>
      <w:tr>
        <w:tblPrEx>
          <w:shd w:val="clear" w:color="auto" w:fill="auto"/>
          <w:tblLayout w:type="fixed"/>
          <w:tblCellMar>
            <w:top w:w="0" w:type="dxa"/>
            <w:left w:w="0" w:type="dxa"/>
            <w:bottom w:w="0" w:type="dxa"/>
            <w:right w:w="0" w:type="dxa"/>
          </w:tblCellMar>
        </w:tblPrEx>
        <w:trPr>
          <w:trHeight w:val="450" w:hRule="atLeast"/>
        </w:trPr>
        <w:tc>
          <w:tcPr>
            <w:tcW w:w="901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冷却水塔填料维修工程量清单</w:t>
            </w:r>
          </w:p>
        </w:tc>
      </w:tr>
      <w:tr>
        <w:tblPrEx>
          <w:tblLayout w:type="fixed"/>
          <w:tblCellMar>
            <w:top w:w="0" w:type="dxa"/>
            <w:left w:w="0" w:type="dxa"/>
            <w:bottom w:w="0" w:type="dxa"/>
            <w:right w:w="0"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2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2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r>
      <w:tr>
        <w:tblPrEx>
          <w:tblLayout w:type="fixed"/>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喷水填料</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“S”波淋水填料</w:t>
            </w:r>
          </w:p>
        </w:tc>
        <w:tc>
          <w:tcPr>
            <w:tcW w:w="2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200平方米</w:t>
            </w:r>
          </w:p>
        </w:tc>
      </w:tr>
      <w:tr>
        <w:tblPrEx>
          <w:tblLayout w:type="fixed"/>
          <w:tblCellMar>
            <w:top w:w="0" w:type="dxa"/>
            <w:left w:w="0" w:type="dxa"/>
            <w:bottom w:w="0" w:type="dxa"/>
            <w:right w:w="0" w:type="dxa"/>
          </w:tblCellMar>
        </w:tblPrEx>
        <w:trPr>
          <w:trHeight w:val="5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除水器</w:t>
            </w:r>
          </w:p>
        </w:tc>
        <w:tc>
          <w:tcPr>
            <w:tcW w:w="2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200平方米</w:t>
            </w:r>
          </w:p>
        </w:tc>
      </w:tr>
    </w:tbl>
    <w:p>
      <w:pPr>
        <w:spacing w:line="360" w:lineRule="auto"/>
        <w:rPr>
          <w:rFonts w:hint="eastAsia" w:ascii="宋体"/>
          <w:sz w:val="24"/>
        </w:rPr>
      </w:pP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12677B9C"/>
    <w:rsid w:val="13324FC2"/>
    <w:rsid w:val="319A364D"/>
    <w:rsid w:val="373C792B"/>
    <w:rsid w:val="4FE01A7C"/>
    <w:rsid w:val="5E430CBE"/>
    <w:rsid w:val="6E6C4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39"/>
  </w:style>
  <w:style w:type="character" w:styleId="7">
    <w:name w:val="Hyperlink"/>
    <w:basedOn w:val="6"/>
    <w:qFormat/>
    <w:uiPriority w:val="99"/>
    <w:rPr>
      <w:color w:val="0000FF"/>
      <w:u w:val="single"/>
    </w:rPr>
  </w:style>
  <w:style w:type="paragraph" w:customStyle="1" w:styleId="8">
    <w:name w:val="TOC Heading"/>
    <w:basedOn w:val="2"/>
    <w:next w:val="1"/>
    <w:qFormat/>
    <w:uiPriority w:val="39"/>
    <w:pPr>
      <w:keepLines/>
      <w:widowControl/>
      <w:tabs>
        <w:tab w:val="left" w:pos="5220"/>
      </w:tabs>
      <w:spacing w:before="480" w:line="276" w:lineRule="auto"/>
      <w:ind w:left="0" w:firstLine="0"/>
      <w:jc w:val="left"/>
      <w:outlineLvl w:val="9"/>
    </w:pPr>
    <w:rPr>
      <w:rFonts w:ascii="Cambria" w:hAnsi="Cambria" w:eastAsia="宋体"/>
      <w:color w:val="365F91"/>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2019-07-05T01:13:00Z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